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CFCFC"/>
        <w:rPr>
          <w:rFonts w:ascii="黑体" w:eastAsia="黑体"/>
          <w:sz w:val="28"/>
          <w:szCs w:val="36"/>
        </w:rPr>
      </w:pPr>
      <w:r>
        <w:rPr>
          <w:rFonts w:hint="eastAsia" w:ascii="黑体" w:eastAsia="黑体"/>
          <w:sz w:val="28"/>
          <w:szCs w:val="36"/>
        </w:rPr>
        <w:t>附件：</w:t>
      </w:r>
    </w:p>
    <w:p>
      <w:pPr>
        <w:widowControl/>
        <w:shd w:val="clear" w:color="auto" w:fill="FCFCFC"/>
        <w:rPr>
          <w:rFonts w:ascii="黑体" w:eastAsia="黑体"/>
          <w:sz w:val="36"/>
          <w:szCs w:val="36"/>
        </w:rPr>
      </w:pPr>
    </w:p>
    <w:p>
      <w:pPr>
        <w:widowControl/>
        <w:shd w:val="clear" w:color="auto" w:fill="FCFCFC"/>
        <w:jc w:val="center"/>
        <w:rPr>
          <w:b/>
          <w:sz w:val="42"/>
          <w:szCs w:val="42"/>
        </w:rPr>
      </w:pPr>
      <w:bookmarkStart w:id="0" w:name="_GoBack"/>
      <w:r>
        <w:rPr>
          <w:rFonts w:hint="eastAsia"/>
          <w:b/>
          <w:sz w:val="42"/>
          <w:szCs w:val="42"/>
        </w:rPr>
        <w:t>海洋生态保护修复资金管理办法</w:t>
      </w:r>
      <w:bookmarkEnd w:id="0"/>
    </w:p>
    <w:p>
      <w:pPr>
        <w:widowControl/>
        <w:shd w:val="clear" w:color="auto" w:fill="FCFCFC"/>
        <w:rPr>
          <w:rFonts w:ascii="仿宋_GB2312" w:hAnsi="华文仿宋" w:cs="Arial"/>
          <w:bCs/>
          <w:kern w:val="0"/>
          <w:szCs w:val="32"/>
        </w:rPr>
      </w:pPr>
    </w:p>
    <w:p>
      <w:pPr>
        <w:widowControl/>
        <w:shd w:val="clear" w:color="auto" w:fill="FCFCFC"/>
        <w:ind w:firstLine="632" w:firstLineChars="200"/>
        <w:rPr>
          <w:rFonts w:ascii="仿宋" w:hAnsi="仿宋" w:eastAsia="仿宋" w:cs="Arial"/>
          <w:kern w:val="0"/>
          <w:szCs w:val="32"/>
        </w:rPr>
      </w:pPr>
      <w:r>
        <w:rPr>
          <w:rFonts w:hint="eastAsia" w:ascii="黑体" w:hAnsi="华文仿宋" w:eastAsia="黑体" w:cs="Arial"/>
          <w:bCs/>
          <w:kern w:val="0"/>
          <w:szCs w:val="32"/>
        </w:rPr>
        <w:t xml:space="preserve">第一条 </w:t>
      </w:r>
      <w:r>
        <w:rPr>
          <w:rFonts w:hint="eastAsia" w:ascii="仿宋_GB2312" w:hAnsi="仿宋" w:cs="Arial"/>
          <w:kern w:val="0"/>
          <w:szCs w:val="32"/>
        </w:rPr>
        <w:t>为加强和规范海洋生态保护修复资金管理，提高资金使用效益，促进海洋生态文明建设和海域的合理开发、可持续利用，根据《中华人民共和国预算法》《中华人民共和国海域使用管理法》《中华人民共和国海岛保护法》《中央对地方专项转移支付管理办法》等，制定本办法。</w:t>
      </w:r>
    </w:p>
    <w:p>
      <w:pPr>
        <w:widowControl/>
        <w:shd w:val="clear" w:color="auto" w:fill="FCFCFC"/>
        <w:ind w:firstLine="640"/>
        <w:rPr>
          <w:rFonts w:ascii="仿宋_GB2312" w:hAnsi="仿宋" w:cs="Arial"/>
          <w:kern w:val="0"/>
          <w:szCs w:val="32"/>
        </w:rPr>
      </w:pPr>
      <w:r>
        <w:rPr>
          <w:rFonts w:hint="eastAsia" w:ascii="黑体" w:hAnsi="华文仿宋" w:eastAsia="黑体" w:cs="Arial"/>
          <w:bCs/>
          <w:kern w:val="0"/>
          <w:szCs w:val="32"/>
        </w:rPr>
        <w:t xml:space="preserve">第二条 </w:t>
      </w:r>
      <w:r>
        <w:rPr>
          <w:rFonts w:hint="eastAsia" w:ascii="华文仿宋" w:hAnsi="华文仿宋"/>
          <w:kern w:val="0"/>
          <w:szCs w:val="32"/>
        </w:rPr>
        <w:t>本办法所称</w:t>
      </w:r>
      <w:r>
        <w:rPr>
          <w:rFonts w:hint="eastAsia" w:ascii="仿宋_GB2312" w:hAnsi="仿宋" w:cs="Arial"/>
          <w:kern w:val="0"/>
          <w:szCs w:val="32"/>
        </w:rPr>
        <w:t>海洋生态保护修复资金（以下简称保护修复资金），是指中央财政通过一般公共预算安排的，用于支持对生态安全具有重要保障作用、生态受益范围较广的海洋生态保护修复的共同财政事权转移支付资金。</w:t>
      </w:r>
    </w:p>
    <w:p>
      <w:pPr>
        <w:widowControl/>
        <w:shd w:val="clear" w:color="auto" w:fill="FCFCFC"/>
        <w:ind w:firstLine="645"/>
        <w:rPr>
          <w:rFonts w:ascii="仿宋_GB2312" w:hAnsi="仿宋" w:cs="Arial"/>
          <w:kern w:val="0"/>
          <w:szCs w:val="32"/>
        </w:rPr>
      </w:pPr>
      <w:r>
        <w:rPr>
          <w:rFonts w:hint="eastAsia" w:ascii="黑体" w:hAnsi="黑体" w:eastAsia="黑体" w:cs="Arial"/>
          <w:kern w:val="0"/>
          <w:szCs w:val="32"/>
        </w:rPr>
        <w:t>第三条</w:t>
      </w:r>
      <w:r>
        <w:rPr>
          <w:rFonts w:hint="eastAsia" w:ascii="仿宋_GB2312" w:hAnsi="仿宋" w:cs="Arial"/>
          <w:kern w:val="0"/>
          <w:szCs w:val="32"/>
        </w:rPr>
        <w:t xml:space="preserve"> 保护修复资金的管理和使用应当遵循下列原则：</w:t>
      </w:r>
    </w:p>
    <w:p>
      <w:pPr>
        <w:widowControl/>
        <w:shd w:val="clear" w:color="auto" w:fill="FCFCFC"/>
        <w:ind w:firstLine="645"/>
        <w:rPr>
          <w:rFonts w:ascii="仿宋_GB2312" w:hAnsi="仿宋" w:cs="Arial"/>
          <w:kern w:val="0"/>
          <w:szCs w:val="32"/>
        </w:rPr>
      </w:pPr>
      <w:r>
        <w:rPr>
          <w:rFonts w:hint="eastAsia" w:ascii="仿宋_GB2312" w:hAnsi="仿宋" w:cs="Arial"/>
          <w:kern w:val="0"/>
          <w:szCs w:val="32"/>
        </w:rPr>
        <w:t>（一）坚决贯彻党中央、国务院决策部署，突出支持重点。</w:t>
      </w:r>
    </w:p>
    <w:p>
      <w:pPr>
        <w:widowControl/>
        <w:shd w:val="clear" w:color="auto" w:fill="FCFCFC"/>
        <w:ind w:firstLine="632" w:firstLineChars="200"/>
        <w:rPr>
          <w:rFonts w:ascii="仿宋_GB2312" w:hAnsi="仿宋" w:cs="Arial"/>
          <w:kern w:val="0"/>
          <w:szCs w:val="32"/>
        </w:rPr>
      </w:pPr>
      <w:r>
        <w:rPr>
          <w:rFonts w:hint="eastAsia" w:ascii="仿宋_GB2312" w:hAnsi="仿宋" w:cs="Arial"/>
          <w:kern w:val="0"/>
          <w:szCs w:val="32"/>
        </w:rPr>
        <w:t>（二）符合国家宏观经济政策和涉海规划，遵循节约优先、保护优先、自然恢复为主方针。</w:t>
      </w:r>
    </w:p>
    <w:p>
      <w:pPr>
        <w:widowControl/>
        <w:shd w:val="clear" w:color="auto" w:fill="FCFCFC"/>
        <w:ind w:firstLine="645"/>
        <w:rPr>
          <w:rFonts w:ascii="仿宋_GB2312" w:hAnsi="仿宋" w:cs="Arial"/>
          <w:kern w:val="0"/>
          <w:szCs w:val="32"/>
        </w:rPr>
      </w:pPr>
      <w:r>
        <w:rPr>
          <w:rFonts w:hint="eastAsia" w:ascii="仿宋_GB2312" w:hAnsi="仿宋" w:cs="Arial"/>
          <w:kern w:val="0"/>
          <w:szCs w:val="32"/>
        </w:rPr>
        <w:t>（三）按照编制财政中期规划的要求，统筹考虑有关工作总体预算安排。</w:t>
      </w:r>
    </w:p>
    <w:p>
      <w:pPr>
        <w:widowControl/>
        <w:shd w:val="clear" w:color="auto" w:fill="FCFCFC"/>
        <w:ind w:firstLine="645"/>
        <w:rPr>
          <w:rFonts w:ascii="仿宋_GB2312" w:hAnsi="仿宋" w:cs="Arial"/>
          <w:kern w:val="0"/>
          <w:szCs w:val="32"/>
        </w:rPr>
      </w:pPr>
      <w:r>
        <w:rPr>
          <w:rFonts w:hint="eastAsia" w:ascii="仿宋_GB2312" w:hAnsi="仿宋" w:cs="Arial"/>
          <w:kern w:val="0"/>
          <w:szCs w:val="32"/>
        </w:rPr>
        <w:t>（四）坚持统筹兼顾，整体施策，鼓励各地从系统工程和全局角度，全方位、全海域、全过程开展海洋生态保护和修复治理。注重实现海洋生态产品的综合价值，推动提高优质海洋生态产品的供给能力。</w:t>
      </w:r>
    </w:p>
    <w:p>
      <w:pPr>
        <w:widowControl/>
        <w:shd w:val="clear" w:color="auto" w:fill="FCFCFC"/>
        <w:ind w:firstLine="632" w:firstLineChars="200"/>
        <w:rPr>
          <w:rFonts w:ascii="仿宋_GB2312" w:hAnsi="仿宋" w:cs="Arial"/>
          <w:kern w:val="0"/>
          <w:szCs w:val="32"/>
        </w:rPr>
      </w:pPr>
      <w:r>
        <w:rPr>
          <w:rFonts w:hint="eastAsia" w:ascii="仿宋_GB2312" w:hAnsi="仿宋" w:cs="Arial"/>
          <w:kern w:val="0"/>
          <w:szCs w:val="32"/>
        </w:rPr>
        <w:t>（五）坚持公开、公平、公正，主动接受社会监督。</w:t>
      </w:r>
    </w:p>
    <w:p>
      <w:pPr>
        <w:widowControl/>
        <w:shd w:val="clear" w:color="auto" w:fill="FCFCFC"/>
        <w:ind w:firstLine="632" w:firstLineChars="200"/>
        <w:rPr>
          <w:rFonts w:ascii="仿宋_GB2312" w:hAnsi="仿宋" w:cs="Arial"/>
          <w:kern w:val="0"/>
          <w:szCs w:val="32"/>
        </w:rPr>
      </w:pPr>
      <w:r>
        <w:rPr>
          <w:rFonts w:hint="eastAsia" w:ascii="仿宋_GB2312" w:hAnsi="仿宋" w:cs="Arial"/>
          <w:kern w:val="0"/>
          <w:szCs w:val="32"/>
        </w:rPr>
        <w:t>（六）实施全过程预算绩效管理，强化资金监管，充分发挥资金效益。</w:t>
      </w:r>
    </w:p>
    <w:p>
      <w:pPr>
        <w:widowControl/>
        <w:shd w:val="clear" w:color="auto" w:fill="FCFCFC"/>
        <w:ind w:left="240" w:leftChars="76" w:firstLine="474" w:firstLineChars="150"/>
        <w:rPr>
          <w:rFonts w:ascii="黑体" w:hAnsi="黑体" w:eastAsia="黑体" w:cs="Arial"/>
          <w:kern w:val="0"/>
          <w:szCs w:val="32"/>
        </w:rPr>
      </w:pPr>
      <w:r>
        <w:rPr>
          <w:rFonts w:hint="eastAsia" w:ascii="黑体" w:hAnsi="黑体" w:eastAsia="黑体" w:cs="Arial"/>
          <w:kern w:val="0"/>
          <w:szCs w:val="32"/>
        </w:rPr>
        <w:t>第四条</w:t>
      </w:r>
      <w:r>
        <w:rPr>
          <w:rFonts w:hint="eastAsia" w:ascii="仿宋_GB2312" w:hAnsi="仿宋" w:cs="Arial"/>
          <w:kern w:val="0"/>
          <w:szCs w:val="32"/>
        </w:rPr>
        <w:t xml:space="preserve"> 保护修复资金实施期限至2020年。期满后根据法律、行政法规和国务院有关规定及海洋生态保护修复工作形势的需要，评估确定是否继续实施和延续期限。</w:t>
      </w:r>
    </w:p>
    <w:p>
      <w:pPr>
        <w:widowControl/>
        <w:shd w:val="clear" w:color="auto" w:fill="FCFCFC"/>
        <w:ind w:left="240" w:leftChars="76" w:firstLine="474" w:firstLineChars="150"/>
        <w:rPr>
          <w:rFonts w:ascii="仿宋_GB2312" w:hAnsi="仿宋" w:cs="Arial"/>
          <w:kern w:val="0"/>
          <w:szCs w:val="32"/>
        </w:rPr>
      </w:pPr>
      <w:r>
        <w:rPr>
          <w:rFonts w:hint="eastAsia" w:ascii="黑体" w:hAnsi="华文仿宋" w:eastAsia="黑体" w:cs="Arial"/>
          <w:bCs/>
          <w:kern w:val="0"/>
          <w:szCs w:val="32"/>
        </w:rPr>
        <w:t xml:space="preserve">第五条 </w:t>
      </w:r>
      <w:r>
        <w:rPr>
          <w:rFonts w:hint="eastAsia" w:ascii="仿宋_GB2312" w:hAnsi="仿宋" w:cs="Arial"/>
          <w:kern w:val="0"/>
          <w:szCs w:val="32"/>
        </w:rPr>
        <w:t>保护修复资金实施方案按照《中华人民共和国国民经济和社会发展第十三个五年规划纲要》《国务院办公厅关于印发&lt;“十三五”生态环境保护规划&gt;的通知》以及党中央、国务院关于打好污染防治攻坚战和生态保护修复的有关决策部署制定，支持范围具体包括：</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（一）生态保护。对海岸带、红树林和海域海岛等生态系统较为脆弱或生态系统质量优良的自然资源实施保护。</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（二）修复治理。对红树林、海岸线、海岸带、海域、海岛等进行修复治理，提升海岛海域岸线的生态功能。</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（三）能力建设。支持海域、海岛监视监管能力建设，海洋生态监测监管能力建设，开展海洋防灾减灾，海洋观测调查等。</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（四）生态补偿。支持鼓励跨区域开展海洋生态保护修复和生态补偿。</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（五）根据党中央、国务院决策部署需要统筹安排的其他支出。</w:t>
      </w:r>
    </w:p>
    <w:p>
      <w:pPr>
        <w:widowControl/>
        <w:shd w:val="clear" w:color="auto" w:fill="FCFCFC"/>
        <w:ind w:firstLine="640"/>
        <w:rPr>
          <w:rFonts w:ascii="仿宋_GB2312" w:hAnsi="仿宋" w:cs="Arial"/>
          <w:kern w:val="0"/>
          <w:szCs w:val="32"/>
        </w:rPr>
      </w:pPr>
      <w:r>
        <w:rPr>
          <w:rFonts w:hint="eastAsia" w:ascii="仿宋_GB2312" w:hAnsi="仿宋" w:cs="Arial"/>
          <w:kern w:val="0"/>
          <w:szCs w:val="32"/>
        </w:rPr>
        <w:t>对不再符合法律、行政法规等有关规定，政策到期或者调整，相关目标已经实现或者实施成效差、绩效低的支持项目，应当及时按照程序退出。</w:t>
      </w:r>
    </w:p>
    <w:p>
      <w:pPr>
        <w:widowControl/>
        <w:shd w:val="clear" w:color="auto" w:fill="FCFCFC"/>
        <w:ind w:firstLine="640"/>
        <w:rPr>
          <w:rFonts w:ascii="仿宋_GB2312" w:hAnsi="仿宋" w:cs="Arial"/>
          <w:kern w:val="0"/>
          <w:szCs w:val="32"/>
        </w:rPr>
      </w:pPr>
      <w:r>
        <w:rPr>
          <w:rFonts w:hint="eastAsia" w:ascii="黑体" w:hAnsi="华文仿宋" w:eastAsia="黑体" w:cs="Arial"/>
          <w:bCs/>
          <w:kern w:val="0"/>
          <w:szCs w:val="32"/>
        </w:rPr>
        <w:t xml:space="preserve">第六条 </w:t>
      </w:r>
      <w:r>
        <w:rPr>
          <w:rFonts w:hint="eastAsia" w:ascii="仿宋_GB2312"/>
          <w:szCs w:val="32"/>
        </w:rPr>
        <w:t>已从中央基建投资等其他渠道获得中央财政资金支持的项目，不得纳入保护修复资金支持范围。</w:t>
      </w:r>
    </w:p>
    <w:p>
      <w:pPr>
        <w:widowControl/>
        <w:shd w:val="clear" w:color="auto" w:fill="FCFCFC"/>
        <w:ind w:firstLine="645"/>
        <w:rPr>
          <w:rFonts w:ascii="仿宋_GB2312"/>
          <w:szCs w:val="32"/>
        </w:rPr>
      </w:pPr>
      <w:r>
        <w:rPr>
          <w:rFonts w:hint="eastAsia" w:ascii="黑体" w:hAnsi="华文仿宋" w:eastAsia="黑体" w:cs="Arial"/>
          <w:bCs/>
          <w:kern w:val="0"/>
          <w:szCs w:val="32"/>
        </w:rPr>
        <w:t xml:space="preserve">第七条 </w:t>
      </w:r>
      <w:r>
        <w:rPr>
          <w:rFonts w:hint="eastAsia" w:ascii="仿宋_GB2312" w:hAnsi="华文仿宋" w:cs="Arial"/>
          <w:bCs/>
          <w:kern w:val="0"/>
          <w:szCs w:val="32"/>
        </w:rPr>
        <w:t>保护修复资金</w:t>
      </w:r>
      <w:r>
        <w:rPr>
          <w:rFonts w:hint="eastAsia" w:ascii="仿宋_GB2312"/>
          <w:szCs w:val="32"/>
        </w:rPr>
        <w:t>由财政部会同自然资源部管理。</w:t>
      </w:r>
    </w:p>
    <w:p>
      <w:pPr>
        <w:widowControl/>
        <w:shd w:val="clear" w:color="auto" w:fill="FCFCFC"/>
        <w:ind w:firstLine="645"/>
        <w:rPr>
          <w:rFonts w:ascii="仿宋_GB2312" w:hAnsi="仿宋" w:cs="Arial"/>
          <w:kern w:val="0"/>
          <w:szCs w:val="32"/>
        </w:rPr>
      </w:pPr>
      <w:r>
        <w:rPr>
          <w:rFonts w:hint="eastAsia" w:ascii="仿宋_GB2312"/>
          <w:szCs w:val="32"/>
        </w:rPr>
        <w:t>财政部负责确定保护修复资金支持重点、分配原则；审核保护</w:t>
      </w:r>
      <w:r>
        <w:rPr>
          <w:rFonts w:hint="eastAsia" w:ascii="仿宋_GB2312" w:hAnsi="仿宋" w:cs="Arial"/>
          <w:kern w:val="0"/>
          <w:szCs w:val="32"/>
        </w:rPr>
        <w:t>修复</w:t>
      </w:r>
      <w:r>
        <w:rPr>
          <w:rFonts w:hint="eastAsia" w:ascii="仿宋_GB2312"/>
          <w:szCs w:val="32"/>
        </w:rPr>
        <w:t>资金分配建议方案；编制</w:t>
      </w:r>
      <w:r>
        <w:rPr>
          <w:rFonts w:hint="eastAsia" w:ascii="仿宋_GB2312" w:hAnsi="仿宋" w:cs="Arial"/>
          <w:kern w:val="0"/>
          <w:szCs w:val="32"/>
        </w:rPr>
        <w:t>保护修复</w:t>
      </w:r>
      <w:r>
        <w:rPr>
          <w:rFonts w:hint="eastAsia" w:ascii="仿宋_GB2312"/>
          <w:szCs w:val="32"/>
        </w:rPr>
        <w:t>资金预算草案并下达预算；组织实施全过程预算绩效管理，指导地方预算管理等工作。</w:t>
      </w:r>
    </w:p>
    <w:p>
      <w:pPr>
        <w:ind w:firstLine="645"/>
        <w:rPr>
          <w:rFonts w:ascii="仿宋_GB2312"/>
          <w:szCs w:val="32"/>
        </w:rPr>
      </w:pPr>
      <w:r>
        <w:rPr>
          <w:rFonts w:hint="eastAsia" w:ascii="仿宋_GB2312"/>
          <w:szCs w:val="32"/>
        </w:rPr>
        <w:t>自然资源部负责组织研究提出海洋生态保护修复项目重点支持方向和工作任务、组织开展项目储备，会同财政部进行入库项目审核；提出保护修复资金总体绩效目标及资金安排建议方案；开展日常监管、综合成效评估和技术标准制定等工作；开展保护修复资金全过程预算绩效管理，指导地方做好项目管理工作等。</w:t>
      </w:r>
    </w:p>
    <w:p>
      <w:pPr>
        <w:ind w:firstLine="624"/>
        <w:rPr>
          <w:rFonts w:ascii="仿宋_GB2312"/>
          <w:szCs w:val="32"/>
        </w:rPr>
      </w:pPr>
      <w:r>
        <w:rPr>
          <w:rFonts w:hint="eastAsia" w:ascii="仿宋_GB2312"/>
          <w:szCs w:val="32"/>
        </w:rPr>
        <w:t>各省（自治区、直辖市，以下统称省）财政部门和自然资源主管部门（含海洋主管部门，下同）负责组织海洋生态保护修复实施方案的编制和审核；开展本区域内项目储备；对项目内容的真实性、准确性负责；组织已储备项目竞争性评审,从中央海洋生态保护修复项目储备库中择优确定实施项目，并向财政部、自然资源部报送实施项目建议清单。</w:t>
      </w:r>
    </w:p>
    <w:p>
      <w:pPr>
        <w:ind w:firstLine="624"/>
        <w:rPr>
          <w:rFonts w:ascii="仿宋_GB2312" w:hAnsi="黑体"/>
          <w:szCs w:val="32"/>
        </w:rPr>
      </w:pPr>
      <w:r>
        <w:rPr>
          <w:rFonts w:hint="eastAsia" w:ascii="黑体" w:hAnsi="黑体" w:eastAsia="黑体"/>
          <w:szCs w:val="32"/>
        </w:rPr>
        <w:t xml:space="preserve">第八条 </w:t>
      </w:r>
      <w:r>
        <w:rPr>
          <w:rFonts w:hint="eastAsia" w:ascii="仿宋_GB2312" w:hAnsi="黑体"/>
          <w:szCs w:val="32"/>
        </w:rPr>
        <w:t>自然资源部根据海洋生态保护修复工作需要以及相关因素、权重以及上一年度绩效情况等，向财政部提出年度保护修复资金安排建议。</w:t>
      </w:r>
    </w:p>
    <w:p>
      <w:pPr>
        <w:ind w:firstLine="624"/>
        <w:rPr>
          <w:rFonts w:ascii="仿宋_GB2312" w:hAnsi="黑体"/>
          <w:szCs w:val="32"/>
        </w:rPr>
      </w:pPr>
      <w:r>
        <w:rPr>
          <w:rFonts w:hint="eastAsia" w:ascii="仿宋_GB2312" w:hAnsi="黑体"/>
          <w:szCs w:val="32"/>
        </w:rPr>
        <w:t>财政部根据自然资源部等提出的分配建议，审核确定有关省资金安排数额，并依法下达保护修复资金预算。</w:t>
      </w:r>
    </w:p>
    <w:p>
      <w:pPr>
        <w:ind w:firstLine="624"/>
        <w:rPr>
          <w:rFonts w:ascii="仿宋_GB2312" w:hAnsi="黑体" w:cs="Arial"/>
          <w:kern w:val="0"/>
          <w:szCs w:val="32"/>
        </w:rPr>
      </w:pPr>
      <w:r>
        <w:rPr>
          <w:rFonts w:hint="eastAsia" w:ascii="仿宋_GB2312" w:hAnsi="黑体"/>
          <w:szCs w:val="32"/>
        </w:rPr>
        <w:t>自然资源部根据财政部确定的各省资金预算，组织各省将资金落实到具体项目，在资金预算文件下达30天内下达项目清单，并抄送财政部有关监管局。各省应积极做好项目储备库建设，改变“钱等项目”的状况，尽快形成实物工作量，提高预算资金执行进度和使用效率。</w:t>
      </w:r>
    </w:p>
    <w:p>
      <w:pPr>
        <w:widowControl/>
        <w:shd w:val="clear" w:color="auto" w:fill="FCFCFC"/>
        <w:ind w:firstLine="624"/>
        <w:rPr>
          <w:rFonts w:ascii="仿宋_GB2312"/>
          <w:szCs w:val="32"/>
        </w:rPr>
      </w:pPr>
      <w:r>
        <w:rPr>
          <w:rFonts w:hint="eastAsia" w:ascii="黑体" w:hAnsi="黑体" w:eastAsia="黑体" w:cs="Arial"/>
          <w:kern w:val="0"/>
          <w:szCs w:val="32"/>
        </w:rPr>
        <w:t xml:space="preserve">第九条 </w:t>
      </w:r>
      <w:r>
        <w:rPr>
          <w:rFonts w:hint="eastAsia" w:ascii="仿宋_GB2312"/>
          <w:szCs w:val="32"/>
        </w:rPr>
        <w:t>保护修复资金采用因素法分配。</w:t>
      </w:r>
      <w:r>
        <w:rPr>
          <w:rFonts w:hint="eastAsia" w:ascii="仿宋_GB2312" w:hAnsi="仿宋" w:cs="Arial"/>
          <w:kern w:val="0"/>
          <w:szCs w:val="32"/>
        </w:rPr>
        <w:t>财政部会同自然资源部根据</w:t>
      </w:r>
      <w:r>
        <w:rPr>
          <w:rFonts w:hint="eastAsia" w:ascii="仿宋_GB2312"/>
          <w:szCs w:val="32"/>
        </w:rPr>
        <w:t>党中央、国务院决策部署，结合各省海洋生态保护修复形势、财力状况等，选取确定分配因素。</w:t>
      </w:r>
    </w:p>
    <w:p>
      <w:pPr>
        <w:ind w:firstLine="632" w:firstLineChars="200"/>
        <w:rPr>
          <w:rFonts w:ascii="仿宋_GB2312"/>
          <w:szCs w:val="32"/>
        </w:rPr>
      </w:pPr>
      <w:r>
        <w:rPr>
          <w:rFonts w:hint="eastAsia" w:ascii="仿宋_GB2312"/>
          <w:szCs w:val="32"/>
        </w:rPr>
        <w:t>支持“蓝色海湾”整治行动、海岸带保护修复工程资金的分配因素，主要包括红树林和海岸带保护修复任务量、自然情况、保护修复工作成效和项目储备情况，具体分配权重为50%、20%、20%、10%。</w:t>
      </w:r>
    </w:p>
    <w:p>
      <w:pPr>
        <w:widowControl/>
        <w:shd w:val="clear" w:color="auto" w:fill="FCFCFC"/>
        <w:ind w:firstLine="645"/>
        <w:rPr>
          <w:rFonts w:ascii="仿宋_GB2312"/>
          <w:szCs w:val="32"/>
        </w:rPr>
      </w:pPr>
      <w:r>
        <w:rPr>
          <w:rFonts w:hint="eastAsia" w:ascii="仿宋_GB2312"/>
          <w:szCs w:val="32"/>
        </w:rPr>
        <w:t>采用因素法分配资金应考虑各省财政困难程度，同时将预算执行率、绩效评价结果作为重要参考依据。因素和权重确需调整的，应当按照程序报批后实施。</w:t>
      </w:r>
    </w:p>
    <w:p>
      <w:pPr>
        <w:widowControl/>
        <w:shd w:val="clear" w:color="auto" w:fill="FCFCFC"/>
        <w:ind w:firstLine="645"/>
        <w:rPr>
          <w:rFonts w:ascii="仿宋_GB2312"/>
          <w:szCs w:val="32"/>
        </w:rPr>
      </w:pPr>
      <w:r>
        <w:rPr>
          <w:rFonts w:hint="eastAsia" w:ascii="黑体" w:hAnsi="黑体" w:eastAsia="黑体" w:cs="Arial"/>
          <w:kern w:val="0"/>
          <w:szCs w:val="32"/>
        </w:rPr>
        <w:t xml:space="preserve">第十条 </w:t>
      </w:r>
      <w:r>
        <w:rPr>
          <w:rFonts w:hint="eastAsia" w:ascii="仿宋_GB2312"/>
          <w:szCs w:val="32"/>
        </w:rPr>
        <w:t>项目在实施过程中因实施环境和条件发生重大变化，确有必要调整实施方案的，应当坚持工程目标不降低、中央资金不增加的原则，由省级财政部门会同自然资源主管部门等审批同意后，报财政部、自然资源部备案。</w:t>
      </w:r>
    </w:p>
    <w:p>
      <w:pPr>
        <w:widowControl/>
        <w:shd w:val="clear" w:color="auto" w:fill="FCFCFC"/>
        <w:ind w:firstLine="645"/>
        <w:rPr>
          <w:rFonts w:ascii="仿宋_GB2312" w:hAnsi="华文仿宋"/>
          <w:kern w:val="0"/>
          <w:szCs w:val="32"/>
        </w:rPr>
      </w:pPr>
      <w:r>
        <w:rPr>
          <w:rFonts w:hint="eastAsia" w:ascii="黑体" w:hAnsi="黑体" w:eastAsia="黑体" w:cs="Arial"/>
          <w:kern w:val="0"/>
          <w:szCs w:val="32"/>
        </w:rPr>
        <w:t xml:space="preserve">第十一条 </w:t>
      </w:r>
      <w:r>
        <w:rPr>
          <w:rFonts w:hint="eastAsia" w:ascii="仿宋_GB2312" w:hAnsi="华文仿宋"/>
          <w:kern w:val="0"/>
          <w:szCs w:val="32"/>
        </w:rPr>
        <w:t>财政部、自然资源部负责组织对保护修复资金实施全过程预算绩效管理，开展绩效自评和重点绩效评价，加强绩效评价结果反馈应用，并</w:t>
      </w:r>
      <w:r>
        <w:rPr>
          <w:rFonts w:hint="eastAsia" w:ascii="仿宋_GB2312" w:hAnsi="仿宋" w:cs="Arial"/>
          <w:kern w:val="0"/>
          <w:szCs w:val="32"/>
        </w:rPr>
        <w:t>建立保护修复资金考核奖惩机制。对各地保护修复资金使用和方案执行情况的考核结果和</w:t>
      </w:r>
      <w:r>
        <w:rPr>
          <w:rFonts w:hint="eastAsia" w:ascii="仿宋_GB2312" w:hAnsi="华文仿宋"/>
          <w:kern w:val="0"/>
          <w:szCs w:val="32"/>
        </w:rPr>
        <w:t>绩效评价结果应当作为调整完善政策及资金预算安排的重要依据。</w:t>
      </w:r>
    </w:p>
    <w:p>
      <w:pPr>
        <w:widowControl/>
        <w:shd w:val="clear" w:color="auto" w:fill="FCFCFC"/>
        <w:ind w:firstLine="645"/>
        <w:rPr>
          <w:rFonts w:ascii="仿宋_GB2312" w:hAnsi="仿宋" w:cs="Arial"/>
          <w:kern w:val="0"/>
          <w:szCs w:val="32"/>
        </w:rPr>
      </w:pPr>
      <w:r>
        <w:rPr>
          <w:rFonts w:hint="eastAsia" w:ascii="仿宋_GB2312" w:hAnsi="仿宋" w:cs="Arial"/>
          <w:kern w:val="0"/>
          <w:szCs w:val="32"/>
        </w:rPr>
        <w:t>绩效评价包括对决策、过程、产出、效益等指标的考核。具体内容包括：决策情况、相关制度建设与执行情况、资金到位使用及项目实施进展情况、实现的产出情况、取得的效益情况等。</w:t>
      </w:r>
    </w:p>
    <w:p>
      <w:pPr>
        <w:ind w:firstLine="625" w:firstLineChars="198"/>
        <w:rPr>
          <w:rFonts w:ascii="仿宋_GB2312" w:hAnsi="仿宋" w:cs="Arial"/>
          <w:kern w:val="0"/>
          <w:szCs w:val="32"/>
        </w:rPr>
      </w:pPr>
      <w:r>
        <w:rPr>
          <w:rFonts w:hint="eastAsia" w:ascii="黑体" w:hAnsi="华文仿宋" w:eastAsia="黑体" w:cs="Arial"/>
          <w:bCs/>
          <w:kern w:val="0"/>
          <w:szCs w:val="32"/>
        </w:rPr>
        <w:t>第十二条</w:t>
      </w:r>
      <w:r>
        <w:rPr>
          <w:rFonts w:hint="eastAsia" w:ascii="仿宋_GB2312" w:hAnsi="仿宋" w:cs="Arial"/>
          <w:kern w:val="0"/>
          <w:szCs w:val="32"/>
        </w:rPr>
        <w:t xml:space="preserve"> 各级财政部门、自然资源主管部门应当加强保护修复资金的绩效评价，并选择部分重点项目开展绩效评价，按要求建立资金监测监管机制，加强对具体项目及保护修复资金使用情况的动态监督，加强绩效运行监控，通过海洋生态保护修复项目库加强对支持项目预算执行进度监控，压实项目单位和地方主体责任。发现资金违规使用、项目实施方案变更等重大问题的，应当按程序及时报告财政部、自然资源部。</w:t>
      </w:r>
    </w:p>
    <w:p>
      <w:pPr>
        <w:ind w:firstLine="625" w:firstLineChars="198"/>
        <w:rPr>
          <w:rFonts w:ascii="仿宋_GB2312" w:hAnsi="仿宋" w:cs="Arial"/>
          <w:kern w:val="0"/>
          <w:szCs w:val="32"/>
        </w:rPr>
      </w:pPr>
      <w:r>
        <w:rPr>
          <w:rFonts w:hint="eastAsia" w:ascii="黑体" w:hAnsi="黑体" w:eastAsia="黑体" w:cs="Arial"/>
          <w:kern w:val="0"/>
          <w:szCs w:val="32"/>
        </w:rPr>
        <w:t>第十三条</w:t>
      </w:r>
      <w:r>
        <w:rPr>
          <w:rFonts w:hint="eastAsia" w:ascii="仿宋_GB2312" w:hAnsi="仿宋" w:cs="Arial"/>
          <w:kern w:val="0"/>
          <w:szCs w:val="32"/>
        </w:rPr>
        <w:t xml:space="preserve"> 海洋生态保护修复资金使用管理相关信息应当按照预算公开有关要求执行。</w:t>
      </w:r>
    </w:p>
    <w:p>
      <w:pPr>
        <w:widowControl/>
        <w:shd w:val="clear" w:color="auto" w:fill="FCFCFC"/>
        <w:ind w:firstLine="632" w:firstLineChars="200"/>
        <w:rPr>
          <w:rFonts w:ascii="仿宋_GB2312" w:hAnsi="仿宋" w:cs="Arial"/>
          <w:kern w:val="0"/>
          <w:szCs w:val="32"/>
        </w:rPr>
      </w:pPr>
      <w:r>
        <w:rPr>
          <w:rFonts w:hint="eastAsia" w:ascii="黑体" w:hAnsi="黑体" w:eastAsia="黑体" w:cs="Arial"/>
          <w:kern w:val="0"/>
          <w:szCs w:val="32"/>
        </w:rPr>
        <w:t xml:space="preserve">第十四条 </w:t>
      </w:r>
      <w:r>
        <w:rPr>
          <w:rFonts w:hint="eastAsia" w:ascii="仿宋_GB2312" w:hAnsi="仿宋" w:cs="Arial"/>
          <w:kern w:val="0"/>
          <w:szCs w:val="32"/>
        </w:rPr>
        <w:t>财政部各地监管局按照固有职责或财政部要求，开展资金监管工作。</w:t>
      </w:r>
    </w:p>
    <w:p>
      <w:pPr>
        <w:widowControl/>
        <w:ind w:firstLine="645"/>
        <w:rPr>
          <w:rFonts w:ascii="仿宋_GB2312"/>
          <w:szCs w:val="32"/>
        </w:rPr>
      </w:pPr>
      <w:r>
        <w:rPr>
          <w:rFonts w:hint="eastAsia" w:ascii="黑体" w:hAnsi="华文仿宋" w:eastAsia="黑体" w:cs="Arial"/>
          <w:bCs/>
          <w:kern w:val="0"/>
          <w:szCs w:val="32"/>
        </w:rPr>
        <w:t>第十五条</w:t>
      </w:r>
      <w:r>
        <w:rPr>
          <w:rFonts w:hint="eastAsia" w:ascii="仿宋_GB2312" w:hAnsi="仿宋" w:cs="Arial"/>
          <w:kern w:val="0"/>
          <w:szCs w:val="32"/>
        </w:rPr>
        <w:t xml:space="preserve"> 任何单位和个人不得截留、挤占和挪用保护修复资金。</w:t>
      </w:r>
      <w:r>
        <w:rPr>
          <w:rFonts w:hint="eastAsia" w:ascii="仿宋_GB2312"/>
          <w:szCs w:val="32"/>
        </w:rPr>
        <w:t>对于违反国家法律、行政法规和有关规定的单位和个人，有关部门应当及时制止和纠正，并严格按照《中华人民共和国预算法》、《财政违法行为处罚处分条例》等予以处理。构成犯罪的，依法追究刑事责任。</w:t>
      </w:r>
    </w:p>
    <w:p>
      <w:pPr>
        <w:widowControl/>
        <w:shd w:val="clear" w:color="auto" w:fill="FCFCFC"/>
        <w:ind w:firstLine="632" w:firstLineChars="200"/>
        <w:rPr>
          <w:rFonts w:ascii="仿宋_GB2312"/>
          <w:szCs w:val="32"/>
        </w:rPr>
      </w:pPr>
      <w:r>
        <w:rPr>
          <w:rFonts w:hint="eastAsia" w:ascii="黑体" w:hAnsi="华文仿宋" w:eastAsia="黑体" w:cs="Arial"/>
          <w:bCs/>
          <w:kern w:val="0"/>
          <w:szCs w:val="32"/>
        </w:rPr>
        <w:t xml:space="preserve">第十六条 </w:t>
      </w:r>
      <w:r>
        <w:rPr>
          <w:rFonts w:hint="eastAsia" w:ascii="仿宋_GB2312" w:hAnsi="仿宋" w:cs="Arial"/>
          <w:kern w:val="0"/>
          <w:szCs w:val="32"/>
        </w:rPr>
        <w:t>各级财政部门、自然资源主管部门及其工作人员存在违反本办法规定行为的，</w:t>
      </w:r>
      <w:r>
        <w:rPr>
          <w:rFonts w:hint="eastAsia" w:ascii="仿宋_GB2312"/>
          <w:szCs w:val="32"/>
        </w:rPr>
        <w:t>以及其他滥用职权、玩忽职守、徇私舞弊等违纪违法行为的，按照《中华人民共和国预算法》及其实施条例、《中华人民共和国监察法》、《财政违法行为处罚处分条例》等有关规定追究相应责任。构成犯罪的，依法追究刑事责任。</w:t>
      </w:r>
    </w:p>
    <w:p>
      <w:pPr>
        <w:widowControl/>
        <w:shd w:val="clear" w:color="auto" w:fill="FCFCFC"/>
        <w:ind w:firstLine="632" w:firstLineChars="200"/>
        <w:rPr>
          <w:rFonts w:ascii="黑体" w:hAnsi="华文仿宋" w:eastAsia="黑体" w:cs="Arial"/>
          <w:bCs/>
          <w:kern w:val="0"/>
          <w:szCs w:val="32"/>
        </w:rPr>
      </w:pPr>
      <w:r>
        <w:rPr>
          <w:rFonts w:hint="eastAsia" w:ascii="黑体" w:hAnsi="华文仿宋" w:eastAsia="黑体" w:cs="Arial"/>
          <w:bCs/>
          <w:kern w:val="0"/>
          <w:szCs w:val="32"/>
        </w:rPr>
        <w:t xml:space="preserve">第十七条 </w:t>
      </w:r>
      <w:r>
        <w:rPr>
          <w:rFonts w:hint="eastAsia" w:ascii="仿宋_GB2312" w:hAnsi="仿宋" w:cs="Arial"/>
          <w:kern w:val="0"/>
          <w:szCs w:val="32"/>
        </w:rPr>
        <w:t>本办法未明确的其他事宜，包括预算下达、资金拨付、使用、</w:t>
      </w:r>
      <w:r>
        <w:rPr>
          <w:rFonts w:hint="eastAsia" w:ascii="仿宋_GB2312" w:hAnsi="华文仿宋" w:cs="Arial"/>
          <w:bCs/>
          <w:kern w:val="0"/>
          <w:szCs w:val="32"/>
        </w:rPr>
        <w:t>结转结余资金处理等，按照</w:t>
      </w:r>
      <w:r>
        <w:rPr>
          <w:rFonts w:hint="eastAsia" w:ascii="仿宋_GB2312" w:hAnsi="仿宋" w:cs="Arial"/>
          <w:kern w:val="0"/>
          <w:szCs w:val="32"/>
        </w:rPr>
        <w:t>预算管理有关规定执行。各级财政部门应加快预算执行，提高资金使用效益。切实加强结转结余资金管理，对存在大量结转结余资金的，要充分分析原因、调整分配机制。</w:t>
      </w:r>
    </w:p>
    <w:p>
      <w:pPr>
        <w:widowControl/>
        <w:shd w:val="clear" w:color="auto" w:fill="FCFCFC"/>
        <w:ind w:firstLine="632" w:firstLineChars="200"/>
        <w:rPr>
          <w:rFonts w:ascii="仿宋_GB2312" w:hAnsi="仿宋" w:cs="Arial"/>
          <w:kern w:val="0"/>
          <w:szCs w:val="32"/>
        </w:rPr>
      </w:pPr>
      <w:r>
        <w:rPr>
          <w:rFonts w:hint="eastAsia" w:ascii="黑体" w:hAnsi="华文仿宋" w:eastAsia="黑体" w:cs="Arial"/>
          <w:bCs/>
          <w:kern w:val="0"/>
          <w:szCs w:val="32"/>
        </w:rPr>
        <w:t xml:space="preserve">第十八条 </w:t>
      </w:r>
      <w:r>
        <w:rPr>
          <w:rFonts w:hint="eastAsia" w:ascii="仿宋_GB2312" w:hAnsi="仿宋" w:cs="Arial"/>
          <w:kern w:val="0"/>
          <w:szCs w:val="32"/>
        </w:rPr>
        <w:t>沿海地区各省级财政部门会同自然资源主管部门结合本地区实际情况，根据本办法制定保护修复资金使用管理实施细则，并报财政部及自然资源部等备案。</w:t>
      </w:r>
    </w:p>
    <w:p>
      <w:pPr>
        <w:widowControl/>
        <w:shd w:val="clear" w:color="auto" w:fill="FCFCFC"/>
        <w:ind w:firstLine="632" w:firstLineChars="200"/>
        <w:rPr>
          <w:rFonts w:ascii="仿宋_GB2312" w:hAnsi="仿宋" w:cs="Arial"/>
          <w:kern w:val="0"/>
          <w:szCs w:val="32"/>
        </w:rPr>
      </w:pPr>
      <w:r>
        <w:rPr>
          <w:rFonts w:hint="eastAsia" w:ascii="黑体" w:hAnsi="华文仿宋" w:eastAsia="黑体" w:cs="Arial"/>
          <w:bCs/>
          <w:kern w:val="0"/>
          <w:szCs w:val="32"/>
        </w:rPr>
        <w:t xml:space="preserve">第十九条 </w:t>
      </w:r>
      <w:r>
        <w:rPr>
          <w:rFonts w:hint="eastAsia" w:ascii="仿宋_GB2312" w:hAnsi="仿宋" w:cs="Arial"/>
          <w:kern w:val="0"/>
          <w:szCs w:val="32"/>
        </w:rPr>
        <w:t>本办法由财政部会同自然资源部负责解释。</w:t>
      </w:r>
    </w:p>
    <w:p>
      <w:pPr>
        <w:ind w:right="283" w:firstLine="688" w:firstLineChars="218"/>
        <w:jc w:val="left"/>
        <w:rPr>
          <w:sz w:val="28"/>
          <w:szCs w:val="28"/>
        </w:rPr>
      </w:pPr>
      <w:r>
        <w:rPr>
          <w:rFonts w:hint="eastAsia" w:ascii="黑体" w:hAnsi="华文仿宋" w:eastAsia="黑体" w:cs="Arial"/>
          <w:bCs/>
          <w:kern w:val="0"/>
          <w:szCs w:val="32"/>
        </w:rPr>
        <w:t xml:space="preserve">第二十条 </w:t>
      </w:r>
      <w:r>
        <w:rPr>
          <w:rFonts w:hint="eastAsia" w:ascii="仿宋_GB2312" w:hAnsi="黑体"/>
          <w:szCs w:val="32"/>
        </w:rPr>
        <w:t>本办法自公布之日起施行。除2019年提前下达的2020年渤海综合治理资金分配和管理按照《海岛及海域保护资金管理办法》（财建〔2018〕861号）的相关规定执行外，《海岛及海域保护资金管理办法》涉及的其他资金的分配和管理执行本办法。</w:t>
      </w:r>
    </w:p>
    <w:sectPr>
      <w:footerReference r:id="rId3" w:type="default"/>
      <w:footerReference r:id="rId4" w:type="even"/>
      <w:pgSz w:w="11906" w:h="16838"/>
      <w:pgMar w:top="1644" w:right="1480" w:bottom="1984" w:left="14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055" w:wrap="around" w:vAnchor="text" w:hAnchor="page" w:x="8321" w:y="-310"/>
      <w:spacing w:line="0" w:lineRule="atLeast"/>
      <w:ind w:right="345"/>
      <w:jc w:val="right"/>
      <w:rPr>
        <w:rStyle w:val="9"/>
        <w:sz w:val="28"/>
      </w:rPr>
    </w:pPr>
    <w:r>
      <w:rPr>
        <w:rStyle w:val="9"/>
        <w:rFonts w:hint="eastAsia" w:ascii="仿宋_GB2312"/>
        <w:sz w:val="28"/>
      </w:rPr>
      <w:t xml:space="preserve">— </w:t>
    </w:r>
    <w:r>
      <w:rPr>
        <w:sz w:val="28"/>
      </w:rPr>
      <w:fldChar w:fldCharType="begin"/>
    </w:r>
    <w:r>
      <w:rPr>
        <w:rStyle w:val="9"/>
        <w:sz w:val="28"/>
      </w:rPr>
      <w:instrText xml:space="preserve">PAGE  </w:instrText>
    </w:r>
    <w:r>
      <w:rPr>
        <w:sz w:val="28"/>
      </w:rPr>
      <w:fldChar w:fldCharType="separate"/>
    </w:r>
    <w:r>
      <w:rPr>
        <w:rStyle w:val="9"/>
        <w:sz w:val="28"/>
      </w:rPr>
      <w:t>6</w:t>
    </w:r>
    <w:r>
      <w:rPr>
        <w:sz w:val="28"/>
      </w:rPr>
      <w:fldChar w:fldCharType="end"/>
    </w:r>
    <w:r>
      <w:rPr>
        <w:rStyle w:val="9"/>
        <w:rFonts w:hint="eastAsia"/>
        <w:sz w:val="28"/>
      </w:rPr>
      <w:t xml:space="preserve"> </w:t>
    </w:r>
    <w:r>
      <w:rPr>
        <w:rStyle w:val="9"/>
        <w:rFonts w:hint="eastAsia" w:ascii="仿宋_GB2312"/>
        <w:sz w:val="28"/>
      </w:rPr>
      <w:t>—</w:t>
    </w:r>
  </w:p>
  <w:p>
    <w:pPr>
      <w:pStyle w:val="4"/>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596" w:wrap="around" w:vAnchor="text" w:hAnchor="page" w:x="1823" w:y="-310"/>
      <w:spacing w:line="240" w:lineRule="auto"/>
      <w:jc w:val="both"/>
      <w:rPr>
        <w:rStyle w:val="9"/>
        <w:sz w:val="28"/>
      </w:rPr>
    </w:pPr>
    <w:r>
      <w:rPr>
        <w:rStyle w:val="9"/>
        <w:rFonts w:hint="eastAsia" w:ascii="仿宋_GB2312"/>
        <w:sz w:val="28"/>
      </w:rPr>
      <w:t xml:space="preserve">— </w:t>
    </w:r>
    <w:r>
      <w:rPr>
        <w:sz w:val="28"/>
      </w:rPr>
      <w:fldChar w:fldCharType="begin"/>
    </w:r>
    <w:r>
      <w:rPr>
        <w:rStyle w:val="9"/>
        <w:sz w:val="28"/>
      </w:rPr>
      <w:instrText xml:space="preserve">PAGE  </w:instrText>
    </w:r>
    <w:r>
      <w:rPr>
        <w:sz w:val="28"/>
      </w:rPr>
      <w:fldChar w:fldCharType="separate"/>
    </w:r>
    <w:r>
      <w:rPr>
        <w:rStyle w:val="9"/>
        <w:sz w:val="28"/>
      </w:rPr>
      <w:t>2</w:t>
    </w:r>
    <w:r>
      <w:rPr>
        <w:sz w:val="28"/>
      </w:rPr>
      <w:fldChar w:fldCharType="end"/>
    </w:r>
    <w:r>
      <w:rPr>
        <w:rStyle w:val="9"/>
        <w:rFonts w:hint="eastAsia"/>
        <w:sz w:val="28"/>
      </w:rPr>
      <w:t xml:space="preserve"> </w:t>
    </w:r>
    <w:r>
      <w:rPr>
        <w:rStyle w:val="9"/>
        <w:rFonts w:hint="eastAsia" w:ascii="仿宋_GB2312"/>
        <w:sz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27"/>
    <w:rsid w:val="00000B46"/>
    <w:rsid w:val="00006A64"/>
    <w:rsid w:val="00012268"/>
    <w:rsid w:val="00026A82"/>
    <w:rsid w:val="00041A78"/>
    <w:rsid w:val="00060F68"/>
    <w:rsid w:val="00072A17"/>
    <w:rsid w:val="0007304B"/>
    <w:rsid w:val="00075CF5"/>
    <w:rsid w:val="00090AF0"/>
    <w:rsid w:val="000B17C1"/>
    <w:rsid w:val="000C1A10"/>
    <w:rsid w:val="000C4B86"/>
    <w:rsid w:val="000F0436"/>
    <w:rsid w:val="000F11D9"/>
    <w:rsid w:val="000F6B20"/>
    <w:rsid w:val="00106555"/>
    <w:rsid w:val="001336F9"/>
    <w:rsid w:val="00137836"/>
    <w:rsid w:val="00146EF9"/>
    <w:rsid w:val="001531BF"/>
    <w:rsid w:val="0015746F"/>
    <w:rsid w:val="001905B7"/>
    <w:rsid w:val="0019539D"/>
    <w:rsid w:val="0019565B"/>
    <w:rsid w:val="001B0CCF"/>
    <w:rsid w:val="001B1E9E"/>
    <w:rsid w:val="001B50FA"/>
    <w:rsid w:val="001C7D96"/>
    <w:rsid w:val="001F028F"/>
    <w:rsid w:val="001F6E44"/>
    <w:rsid w:val="0020057D"/>
    <w:rsid w:val="00206BF3"/>
    <w:rsid w:val="002134D2"/>
    <w:rsid w:val="00224E0F"/>
    <w:rsid w:val="00254BC8"/>
    <w:rsid w:val="0026521F"/>
    <w:rsid w:val="00265642"/>
    <w:rsid w:val="00271A70"/>
    <w:rsid w:val="00286850"/>
    <w:rsid w:val="00295B48"/>
    <w:rsid w:val="002A7AA2"/>
    <w:rsid w:val="002C0076"/>
    <w:rsid w:val="002C7249"/>
    <w:rsid w:val="002F7CE1"/>
    <w:rsid w:val="003006D3"/>
    <w:rsid w:val="00350068"/>
    <w:rsid w:val="00350721"/>
    <w:rsid w:val="0036535C"/>
    <w:rsid w:val="00366B7A"/>
    <w:rsid w:val="003873A3"/>
    <w:rsid w:val="003911A6"/>
    <w:rsid w:val="00391BBA"/>
    <w:rsid w:val="0039641E"/>
    <w:rsid w:val="003B6BFD"/>
    <w:rsid w:val="003C05E3"/>
    <w:rsid w:val="003F1C88"/>
    <w:rsid w:val="00417B62"/>
    <w:rsid w:val="0042029D"/>
    <w:rsid w:val="00422303"/>
    <w:rsid w:val="0043408C"/>
    <w:rsid w:val="00446901"/>
    <w:rsid w:val="00450417"/>
    <w:rsid w:val="00457938"/>
    <w:rsid w:val="00491CF3"/>
    <w:rsid w:val="00492BCE"/>
    <w:rsid w:val="004A06ED"/>
    <w:rsid w:val="004A3FAC"/>
    <w:rsid w:val="004A4BF6"/>
    <w:rsid w:val="004A656A"/>
    <w:rsid w:val="004B05AD"/>
    <w:rsid w:val="004C3071"/>
    <w:rsid w:val="004C5FF8"/>
    <w:rsid w:val="004E2F3B"/>
    <w:rsid w:val="004E6D1F"/>
    <w:rsid w:val="004E7689"/>
    <w:rsid w:val="004F0D99"/>
    <w:rsid w:val="00507066"/>
    <w:rsid w:val="00514914"/>
    <w:rsid w:val="00544C1C"/>
    <w:rsid w:val="00545EFC"/>
    <w:rsid w:val="00552771"/>
    <w:rsid w:val="00552EB3"/>
    <w:rsid w:val="005577D6"/>
    <w:rsid w:val="00557C29"/>
    <w:rsid w:val="005720FC"/>
    <w:rsid w:val="00572C42"/>
    <w:rsid w:val="00574CA1"/>
    <w:rsid w:val="00581511"/>
    <w:rsid w:val="0058697C"/>
    <w:rsid w:val="00592A7C"/>
    <w:rsid w:val="00597E60"/>
    <w:rsid w:val="005A4FA3"/>
    <w:rsid w:val="005A566C"/>
    <w:rsid w:val="005C779B"/>
    <w:rsid w:val="005D273F"/>
    <w:rsid w:val="00631CEB"/>
    <w:rsid w:val="0063345D"/>
    <w:rsid w:val="00641F37"/>
    <w:rsid w:val="00642010"/>
    <w:rsid w:val="006455E3"/>
    <w:rsid w:val="006549F4"/>
    <w:rsid w:val="0067479A"/>
    <w:rsid w:val="006B6A5C"/>
    <w:rsid w:val="006B7C20"/>
    <w:rsid w:val="006C246B"/>
    <w:rsid w:val="006C5DF2"/>
    <w:rsid w:val="006E07B0"/>
    <w:rsid w:val="006F3C78"/>
    <w:rsid w:val="00701DC2"/>
    <w:rsid w:val="007040B9"/>
    <w:rsid w:val="00714406"/>
    <w:rsid w:val="00720FE3"/>
    <w:rsid w:val="00726427"/>
    <w:rsid w:val="00730124"/>
    <w:rsid w:val="007334BE"/>
    <w:rsid w:val="00735AFB"/>
    <w:rsid w:val="00751FF7"/>
    <w:rsid w:val="00757760"/>
    <w:rsid w:val="00771A0D"/>
    <w:rsid w:val="007834D1"/>
    <w:rsid w:val="007971F7"/>
    <w:rsid w:val="007A4BAB"/>
    <w:rsid w:val="007C002E"/>
    <w:rsid w:val="007C4C80"/>
    <w:rsid w:val="007E0279"/>
    <w:rsid w:val="007E4837"/>
    <w:rsid w:val="00800C02"/>
    <w:rsid w:val="0080657F"/>
    <w:rsid w:val="00815D93"/>
    <w:rsid w:val="008254E5"/>
    <w:rsid w:val="00832880"/>
    <w:rsid w:val="008354E4"/>
    <w:rsid w:val="00842CB8"/>
    <w:rsid w:val="00844AF6"/>
    <w:rsid w:val="00845523"/>
    <w:rsid w:val="0085142D"/>
    <w:rsid w:val="00881609"/>
    <w:rsid w:val="00891B34"/>
    <w:rsid w:val="008957FE"/>
    <w:rsid w:val="00897A60"/>
    <w:rsid w:val="008B0E03"/>
    <w:rsid w:val="008C53C7"/>
    <w:rsid w:val="008E7D6C"/>
    <w:rsid w:val="008F77AD"/>
    <w:rsid w:val="00931328"/>
    <w:rsid w:val="0093452E"/>
    <w:rsid w:val="00935D08"/>
    <w:rsid w:val="00943A31"/>
    <w:rsid w:val="009502AE"/>
    <w:rsid w:val="00956956"/>
    <w:rsid w:val="00960156"/>
    <w:rsid w:val="00972579"/>
    <w:rsid w:val="009850FB"/>
    <w:rsid w:val="00987C7E"/>
    <w:rsid w:val="00990C6F"/>
    <w:rsid w:val="009B5D87"/>
    <w:rsid w:val="009B75A5"/>
    <w:rsid w:val="009C5CB1"/>
    <w:rsid w:val="00A21A54"/>
    <w:rsid w:val="00A307F2"/>
    <w:rsid w:val="00A431A4"/>
    <w:rsid w:val="00A629AD"/>
    <w:rsid w:val="00A6762F"/>
    <w:rsid w:val="00A70114"/>
    <w:rsid w:val="00A765DA"/>
    <w:rsid w:val="00AA20CD"/>
    <w:rsid w:val="00AA3EA5"/>
    <w:rsid w:val="00AD0A34"/>
    <w:rsid w:val="00AD7882"/>
    <w:rsid w:val="00B179B0"/>
    <w:rsid w:val="00B33E9B"/>
    <w:rsid w:val="00B42CB1"/>
    <w:rsid w:val="00B464BC"/>
    <w:rsid w:val="00B86780"/>
    <w:rsid w:val="00BB4DB8"/>
    <w:rsid w:val="00BC7674"/>
    <w:rsid w:val="00BE6759"/>
    <w:rsid w:val="00C00050"/>
    <w:rsid w:val="00C154B8"/>
    <w:rsid w:val="00C255CA"/>
    <w:rsid w:val="00C32334"/>
    <w:rsid w:val="00C34014"/>
    <w:rsid w:val="00C35A7F"/>
    <w:rsid w:val="00C37907"/>
    <w:rsid w:val="00C43A94"/>
    <w:rsid w:val="00C45DC2"/>
    <w:rsid w:val="00C51533"/>
    <w:rsid w:val="00C76E1E"/>
    <w:rsid w:val="00C77CC5"/>
    <w:rsid w:val="00C85374"/>
    <w:rsid w:val="00C86459"/>
    <w:rsid w:val="00CA3B72"/>
    <w:rsid w:val="00CE3A2F"/>
    <w:rsid w:val="00CE649D"/>
    <w:rsid w:val="00CE69E5"/>
    <w:rsid w:val="00D103E5"/>
    <w:rsid w:val="00D32620"/>
    <w:rsid w:val="00D632E4"/>
    <w:rsid w:val="00D65AED"/>
    <w:rsid w:val="00D67492"/>
    <w:rsid w:val="00D90F4C"/>
    <w:rsid w:val="00D935E9"/>
    <w:rsid w:val="00D94CF1"/>
    <w:rsid w:val="00DA43BA"/>
    <w:rsid w:val="00DA4872"/>
    <w:rsid w:val="00DC6257"/>
    <w:rsid w:val="00DE2121"/>
    <w:rsid w:val="00DE2D9F"/>
    <w:rsid w:val="00DE2F81"/>
    <w:rsid w:val="00DE3541"/>
    <w:rsid w:val="00E02E12"/>
    <w:rsid w:val="00E15E76"/>
    <w:rsid w:val="00E1703B"/>
    <w:rsid w:val="00E3527F"/>
    <w:rsid w:val="00E757F7"/>
    <w:rsid w:val="00E7778B"/>
    <w:rsid w:val="00E9155D"/>
    <w:rsid w:val="00E91A0E"/>
    <w:rsid w:val="00E97242"/>
    <w:rsid w:val="00EA44A1"/>
    <w:rsid w:val="00EC09B2"/>
    <w:rsid w:val="00EF1073"/>
    <w:rsid w:val="00F135C7"/>
    <w:rsid w:val="00F201E2"/>
    <w:rsid w:val="00F27284"/>
    <w:rsid w:val="00F3526C"/>
    <w:rsid w:val="00F46062"/>
    <w:rsid w:val="00F515C2"/>
    <w:rsid w:val="00F52862"/>
    <w:rsid w:val="00F547A7"/>
    <w:rsid w:val="00F57B5A"/>
    <w:rsid w:val="00F76EF4"/>
    <w:rsid w:val="00FA3F38"/>
    <w:rsid w:val="00FA6059"/>
    <w:rsid w:val="00FC01F0"/>
    <w:rsid w:val="00FE1CBC"/>
    <w:rsid w:val="033E45BA"/>
    <w:rsid w:val="0BB922A2"/>
    <w:rsid w:val="11F06161"/>
    <w:rsid w:val="12357A45"/>
    <w:rsid w:val="18B40B04"/>
    <w:rsid w:val="1A2C2647"/>
    <w:rsid w:val="4105235B"/>
    <w:rsid w:val="46704FFC"/>
    <w:rsid w:val="4D1E419F"/>
    <w:rsid w:val="4DD3700D"/>
    <w:rsid w:val="52842FEF"/>
    <w:rsid w:val="542052D4"/>
    <w:rsid w:val="56787B90"/>
    <w:rsid w:val="59466053"/>
    <w:rsid w:val="5C365206"/>
    <w:rsid w:val="687B0A58"/>
    <w:rsid w:val="68B134C8"/>
    <w:rsid w:val="6B45300E"/>
    <w:rsid w:val="6E113FF3"/>
    <w:rsid w:val="79BB3D39"/>
    <w:rsid w:val="7DD208D8"/>
    <w:rsid w:val="7E9A5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kern w:val="0"/>
    </w:rPr>
  </w:style>
  <w:style w:type="paragraph" w:styleId="3">
    <w:name w:val="Balloon Text"/>
    <w:basedOn w:val="1"/>
    <w:link w:val="13"/>
    <w:unhideWhenUsed/>
    <w:qFormat/>
    <w:uiPriority w:val="99"/>
    <w:pPr>
      <w:spacing w:line="240" w:lineRule="auto"/>
    </w:pPr>
    <w:rPr>
      <w:kern w:val="0"/>
      <w:sz w:val="18"/>
      <w:szCs w:val="18"/>
    </w:rPr>
  </w:style>
  <w:style w:type="paragraph" w:styleId="4">
    <w:name w:val="footer"/>
    <w:basedOn w:val="1"/>
    <w:link w:val="12"/>
    <w:qFormat/>
    <w:uiPriority w:val="0"/>
    <w:pPr>
      <w:tabs>
        <w:tab w:val="center" w:pos="4153"/>
        <w:tab w:val="right" w:pos="8306"/>
      </w:tabs>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pacing w:line="240" w:lineRule="atLeast"/>
      <w:jc w:val="center"/>
    </w:pPr>
    <w:rPr>
      <w:kern w:val="0"/>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正文文本 Char"/>
    <w:link w:val="2"/>
    <w:qFormat/>
    <w:uiPriority w:val="0"/>
    <w:rPr>
      <w:rFonts w:ascii="宋体" w:hAnsi="宋体" w:eastAsia="仿宋_GB2312" w:cs="Times New Roman"/>
      <w:spacing w:val="-2"/>
      <w:sz w:val="32"/>
      <w:szCs w:val="24"/>
    </w:rPr>
  </w:style>
  <w:style w:type="character" w:customStyle="1" w:styleId="11">
    <w:name w:val="页眉 Char"/>
    <w:link w:val="5"/>
    <w:semiHidden/>
    <w:qFormat/>
    <w:uiPriority w:val="99"/>
    <w:rPr>
      <w:rFonts w:ascii="宋体" w:hAnsi="宋体" w:eastAsia="仿宋_GB2312" w:cs="Times New Roman"/>
      <w:spacing w:val="-2"/>
      <w:sz w:val="18"/>
      <w:szCs w:val="18"/>
    </w:rPr>
  </w:style>
  <w:style w:type="character" w:customStyle="1" w:styleId="12">
    <w:name w:val="页脚 Char"/>
    <w:link w:val="4"/>
    <w:qFormat/>
    <w:uiPriority w:val="0"/>
    <w:rPr>
      <w:rFonts w:ascii="宋体" w:hAnsi="宋体" w:eastAsia="仿宋_GB2312" w:cs="Times New Roman"/>
      <w:spacing w:val="-2"/>
      <w:sz w:val="18"/>
      <w:szCs w:val="18"/>
    </w:rPr>
  </w:style>
  <w:style w:type="character" w:customStyle="1" w:styleId="13">
    <w:name w:val="批注框文本 Char"/>
    <w:link w:val="3"/>
    <w:semiHidden/>
    <w:qFormat/>
    <w:uiPriority w:val="99"/>
    <w:rPr>
      <w:rFonts w:ascii="宋体" w:hAnsi="宋体" w:eastAsia="仿宋_GB2312" w:cs="Times New Roman"/>
      <w:spacing w:val="-2"/>
      <w:sz w:val="18"/>
      <w:szCs w:val="18"/>
    </w:rPr>
  </w:style>
  <w:style w:type="paragraph" w:customStyle="1" w:styleId="14">
    <w:name w:val="样式"/>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461</Words>
  <Characters>2634</Characters>
  <Lines>21</Lines>
  <Paragraphs>6</Paragraphs>
  <TotalTime>21</TotalTime>
  <ScaleCrop>false</ScaleCrop>
  <LinksUpToDate>false</LinksUpToDate>
  <CharactersWithSpaces>3089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2019-07-09T02:03:00Z</dcterms:created>
  <dc:creator>吴迪晓</dc:creator>
  <cp:lastModifiedBy>如鱼饮水</cp:lastModifiedBy>
  <cp:lastPrinted>2020-04-24T07:26:00Z</cp:lastPrinted>
  <dcterms:modified xsi:type="dcterms:W3CDTF">2021-03-26T03:43:42Z</dcterms:modified>
  <dc:title>000001</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